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大厂回族自治县审计局</w:t>
      </w:r>
    </w:p>
    <w:p>
      <w:pPr>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w:t>
      </w:r>
      <w:r>
        <w:rPr>
          <w:rFonts w:ascii="方正小标宋简体" w:hAnsi="方正小标宋简体" w:eastAsia="方正小标宋简体" w:cs="方正小标宋简体"/>
          <w:sz w:val="44"/>
          <w:szCs w:val="44"/>
        </w:rPr>
        <w:t>9</w:t>
      </w:r>
      <w:r>
        <w:rPr>
          <w:rFonts w:hint="eastAsia" w:ascii="方正小标宋简体" w:hAnsi="方正小标宋简体" w:eastAsia="方正小标宋简体" w:cs="方正小标宋简体"/>
          <w:sz w:val="44"/>
          <w:szCs w:val="44"/>
        </w:rPr>
        <w:t>年部门预算信息公开说明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按照《预算法》、《地方预决算公开操作规程》和《河北省省级预算公开办法》规定，现将廊坊市大厂回族自治县审计局201</w:t>
      </w:r>
      <w:r>
        <w:rPr>
          <w:rFonts w:ascii="仿宋" w:hAnsi="仿宋" w:eastAsia="仿宋" w:cs="仿宋"/>
          <w:sz w:val="32"/>
          <w:szCs w:val="32"/>
        </w:rPr>
        <w:t>9</w:t>
      </w:r>
      <w:r>
        <w:rPr>
          <w:rFonts w:hint="eastAsia" w:ascii="仿宋" w:hAnsi="仿宋" w:eastAsia="仿宋" w:cs="仿宋"/>
          <w:sz w:val="32"/>
          <w:szCs w:val="32"/>
        </w:rPr>
        <w:t>年部门预算公开如下：</w:t>
      </w:r>
    </w:p>
    <w:p>
      <w:pPr>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 w:hAnsi="楷体" w:eastAsia="楷体" w:cs="楷体"/>
          <w:b/>
          <w:sz w:val="32"/>
          <w:szCs w:val="32"/>
        </w:rPr>
      </w:pPr>
      <w:r>
        <w:rPr>
          <w:rFonts w:hint="eastAsia" w:ascii="楷体" w:hAnsi="楷体" w:eastAsia="楷体" w:cs="楷体"/>
          <w:b/>
          <w:sz w:val="32"/>
          <w:szCs w:val="32"/>
        </w:rPr>
        <w:t>部门职责：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组织领导全县的审计工作，监督检查国家财经法规的贯彻落实，查处与财政收支、财务收支有关的违法违纪行为，维护财政经济秩序，促进廉政建设，保证国民经济和社会健康发展。</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（一）对县本级各部门(含直属单位)和下级政府预算的执行情况和决算以及其他财政收支情况，进行审计监督。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（二）对县本级预算执行情况和其他财政收支情况进行审计监督，向县政府和市审计局提出审计结果报告；受县政府委托向县人大常委会提出本级预算执行情况和其他财政收支的审计工作报告。</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（三）对县属国有金融机构的资产、负债、损益，进行审计监督。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（四）对县属的事业组织和使用财政资金的其他事业组织的财务收支，进行审计监督。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（五）对县属国有企业的资产、负债、损益，进行审计监督。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（六）根据国家有关规定，对国有资本占控股地位或者主导地位的县属企业、金融机构进行审计监督。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（七）对县政府投资和以市政府投资为主的建设项目的预算执行情况和决算，进行审计监督。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（八）对县政府部门管理的和其他单位受县政府委托管理的社会保障基金、社会捐赠资金以及其他有关基金、资金的财务收支，进行审计监督。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九）按照国家有关规定，根据干部监督、管理部门的委托，对县辖镇（乡）党政机关，县直机关及事业单位，县属国有及国有控股企业和依法属于县审计局审计监督对象的其他单位的主要负责人任期经济责任履行情况，进行审计监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（十）除审计法规定的审计事项外，对其他法律、行政法规规定应当由县审计局进行审计的事项，依照审计法和有关法律、行政法规的规定进行审计监督。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（十一）对全县内部审计工作进行业务指导和监督。</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（十二）按照国家有关规定，对社会审计机构审计的单位依法属于县审计局审计监督对象的，县审计局有权对该社会审计机构出具的相关审计报告进行核查。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（十三）贯彻落实国家审计法律、法规和规章，研究拟定地方性审计规章制度，参与制定地方财经法规和规章并监督执行。</w:t>
      </w:r>
    </w:p>
    <w:p>
      <w:pPr>
        <w:autoSpaceDE w:val="0"/>
        <w:autoSpaceDN w:val="0"/>
        <w:adjustRightInd w:val="0"/>
        <w:jc w:val="left"/>
        <w:rPr>
          <w:rFonts w:ascii="楷体" w:hAnsi="楷体" w:eastAsia="楷体" w:cs="楷体"/>
          <w:b/>
          <w:sz w:val="32"/>
          <w:szCs w:val="32"/>
        </w:rPr>
      </w:pPr>
      <w:r>
        <w:rPr>
          <w:rFonts w:hint="eastAsia" w:ascii="方正仿宋_GBK" w:hAnsi="Times New Roman" w:eastAsia="方正仿宋_GBK" w:cs="Times New Roman"/>
          <w:b/>
          <w:sz w:val="32"/>
          <w:szCs w:val="32"/>
        </w:rPr>
        <w:t xml:space="preserve">    </w:t>
      </w:r>
      <w:r>
        <w:rPr>
          <w:rFonts w:hint="eastAsia" w:ascii="楷体" w:hAnsi="楷体" w:eastAsia="楷体" w:cs="楷体"/>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6"/>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ind w:firstLine="640" w:firstLineChars="200"/>
              <w:jc w:val="left"/>
              <w:rPr>
                <w:rFonts w:ascii="仿宋" w:hAnsi="仿宋" w:eastAsia="仿宋" w:cs="仿宋"/>
                <w:sz w:val="32"/>
                <w:szCs w:val="32"/>
              </w:rPr>
            </w:pPr>
            <w:r>
              <w:rPr>
                <w:rFonts w:hint="eastAsia" w:ascii="仿宋" w:hAnsi="仿宋" w:eastAsia="仿宋" w:cs="仿宋"/>
                <w:sz w:val="32"/>
                <w:szCs w:val="32"/>
              </w:rPr>
              <w:t>大厂回族自治县审计局</w:t>
            </w:r>
          </w:p>
        </w:tc>
        <w:tc>
          <w:tcPr>
            <w:tcW w:w="1134" w:type="dxa"/>
            <w:shd w:val="clear" w:color="auto" w:fill="auto"/>
            <w:vAlign w:val="center"/>
          </w:tcPr>
          <w:p>
            <w:pPr>
              <w:jc w:val="left"/>
              <w:rPr>
                <w:rFonts w:ascii="仿宋" w:hAnsi="仿宋" w:eastAsia="仿宋" w:cs="仿宋"/>
                <w:sz w:val="32"/>
                <w:szCs w:val="32"/>
              </w:rPr>
            </w:pPr>
            <w:r>
              <w:rPr>
                <w:rFonts w:hint="eastAsia" w:ascii="仿宋" w:hAnsi="仿宋" w:eastAsia="仿宋" w:cs="仿宋"/>
                <w:sz w:val="32"/>
                <w:szCs w:val="32"/>
              </w:rPr>
              <w:t>行政单位</w:t>
            </w:r>
          </w:p>
        </w:tc>
        <w:tc>
          <w:tcPr>
            <w:tcW w:w="1276" w:type="dxa"/>
            <w:shd w:val="clear" w:color="auto" w:fill="auto"/>
            <w:vAlign w:val="center"/>
          </w:tcPr>
          <w:p>
            <w:pPr>
              <w:jc w:val="left"/>
              <w:rPr>
                <w:rFonts w:ascii="仿宋" w:hAnsi="仿宋" w:eastAsia="仿宋" w:cs="仿宋"/>
                <w:sz w:val="32"/>
                <w:szCs w:val="32"/>
              </w:rPr>
            </w:pPr>
            <w:r>
              <w:rPr>
                <w:rFonts w:hint="eastAsia" w:ascii="仿宋" w:hAnsi="仿宋" w:eastAsia="仿宋" w:cs="仿宋"/>
                <w:sz w:val="32"/>
                <w:szCs w:val="32"/>
              </w:rPr>
              <w:t>正科级</w:t>
            </w:r>
          </w:p>
        </w:tc>
        <w:tc>
          <w:tcPr>
            <w:tcW w:w="2902" w:type="dxa"/>
            <w:shd w:val="clear" w:color="auto" w:fill="auto"/>
            <w:vAlign w:val="center"/>
          </w:tcPr>
          <w:p>
            <w:pPr>
              <w:ind w:firstLine="640" w:firstLineChars="200"/>
              <w:jc w:val="left"/>
              <w:rPr>
                <w:rFonts w:ascii="仿宋" w:hAnsi="仿宋" w:eastAsia="仿宋" w:cs="仿宋"/>
                <w:sz w:val="32"/>
                <w:szCs w:val="32"/>
              </w:rPr>
            </w:pPr>
            <w:r>
              <w:rPr>
                <w:rFonts w:hint="eastAsia" w:ascii="仿宋" w:hAnsi="仿宋" w:eastAsia="仿宋" w:cs="仿宋"/>
                <w:sz w:val="32"/>
                <w:szCs w:val="32"/>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left"/>
              <w:rPr>
                <w:rFonts w:ascii="Times New Roman" w:hAnsi="Times New Roman" w:eastAsia="方正书宋_GBK" w:cs="Times New Roman"/>
                <w:szCs w:val="24"/>
              </w:rPr>
            </w:pPr>
          </w:p>
        </w:tc>
        <w:tc>
          <w:tcPr>
            <w:tcW w:w="1134" w:type="dxa"/>
            <w:shd w:val="clear" w:color="auto" w:fill="auto"/>
            <w:vAlign w:val="center"/>
          </w:tcPr>
          <w:p>
            <w:pPr>
              <w:spacing w:line="300" w:lineRule="exact"/>
              <w:jc w:val="left"/>
              <w:rPr>
                <w:rFonts w:ascii="Times New Roman" w:hAnsi="Times New Roman" w:eastAsia="方正书宋_GBK" w:cs="Times New Roman"/>
                <w:szCs w:val="24"/>
              </w:rPr>
            </w:pPr>
          </w:p>
        </w:tc>
        <w:tc>
          <w:tcPr>
            <w:tcW w:w="1276" w:type="dxa"/>
            <w:shd w:val="clear" w:color="auto" w:fill="auto"/>
            <w:vAlign w:val="center"/>
          </w:tcPr>
          <w:p>
            <w:pPr>
              <w:spacing w:line="300" w:lineRule="exact"/>
              <w:jc w:val="left"/>
              <w:rPr>
                <w:rFonts w:ascii="Times New Roman" w:hAnsi="Times New Roman" w:eastAsia="方正书宋_GBK" w:cs="Times New Roman"/>
                <w:szCs w:val="24"/>
              </w:rPr>
            </w:pPr>
          </w:p>
        </w:tc>
        <w:tc>
          <w:tcPr>
            <w:tcW w:w="2902" w:type="dxa"/>
            <w:shd w:val="clear" w:color="auto" w:fill="auto"/>
            <w:vAlign w:val="center"/>
          </w:tcPr>
          <w:p>
            <w:pPr>
              <w:spacing w:line="300" w:lineRule="exact"/>
              <w:jc w:val="left"/>
              <w:rPr>
                <w:rFonts w:ascii="Times New Roman" w:hAnsi="Times New Roman" w:eastAsia="方正书宋_GBK" w:cs="Times New Roman"/>
                <w:szCs w:val="24"/>
              </w:rPr>
            </w:pPr>
          </w:p>
        </w:tc>
      </w:tr>
    </w:tbl>
    <w:p>
      <w:pPr>
        <w:ind w:firstLine="64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按照预算管理有关规定，目前预算的编制实行综合预算制度，即全部收入和支出都反映在预算中。我部门全部收支包含在部门预算中。</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1、收入说明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反映本部门当年全部收入。201</w:t>
      </w:r>
      <w:r>
        <w:rPr>
          <w:rFonts w:ascii="仿宋" w:hAnsi="仿宋" w:eastAsia="仿宋" w:cs="仿宋"/>
          <w:sz w:val="32"/>
          <w:szCs w:val="32"/>
        </w:rPr>
        <w:t>9</w:t>
      </w:r>
      <w:r>
        <w:rPr>
          <w:rFonts w:hint="eastAsia" w:ascii="仿宋" w:hAnsi="仿宋" w:eastAsia="仿宋" w:cs="仿宋"/>
          <w:sz w:val="32"/>
          <w:szCs w:val="32"/>
        </w:rPr>
        <w:t>年预算收入</w:t>
      </w:r>
      <w:r>
        <w:rPr>
          <w:rFonts w:ascii="仿宋" w:hAnsi="仿宋" w:eastAsia="仿宋" w:cs="仿宋"/>
          <w:sz w:val="32"/>
          <w:szCs w:val="32"/>
        </w:rPr>
        <w:t>957.25</w:t>
      </w:r>
      <w:r>
        <w:rPr>
          <w:rFonts w:hint="eastAsia" w:ascii="仿宋" w:hAnsi="仿宋" w:eastAsia="仿宋" w:cs="仿宋"/>
          <w:sz w:val="32"/>
          <w:szCs w:val="32"/>
        </w:rPr>
        <w:t>万元，其中：一般公共预算收入</w:t>
      </w:r>
      <w:r>
        <w:rPr>
          <w:rFonts w:ascii="仿宋" w:hAnsi="仿宋" w:eastAsia="仿宋" w:cs="仿宋"/>
          <w:sz w:val="32"/>
          <w:szCs w:val="32"/>
        </w:rPr>
        <w:t>957.25</w:t>
      </w:r>
      <w:r>
        <w:rPr>
          <w:rFonts w:hint="eastAsia" w:ascii="仿宋" w:hAnsi="仿宋" w:eastAsia="仿宋" w:cs="仿宋"/>
          <w:sz w:val="32"/>
          <w:szCs w:val="32"/>
        </w:rPr>
        <w:t>万元</w:t>
      </w:r>
      <w:r>
        <w:rPr>
          <w:rFonts w:ascii="仿宋" w:hAnsi="仿宋" w:eastAsia="仿宋" w:cs="仿宋"/>
          <w:sz w:val="32"/>
          <w:szCs w:val="32"/>
        </w:rPr>
        <w:t>，基金预算收入</w:t>
      </w:r>
      <w:r>
        <w:rPr>
          <w:rFonts w:hint="eastAsia" w:ascii="仿宋" w:hAnsi="仿宋" w:eastAsia="仿宋" w:cs="仿宋"/>
          <w:sz w:val="32"/>
          <w:szCs w:val="32"/>
        </w:rPr>
        <w:t>0</w:t>
      </w:r>
      <w:r>
        <w:rPr>
          <w:rFonts w:ascii="仿宋" w:hAnsi="仿宋" w:eastAsia="仿宋" w:cs="仿宋"/>
          <w:sz w:val="32"/>
          <w:szCs w:val="32"/>
        </w:rPr>
        <w:t>万元，财政专户核拨收入</w:t>
      </w:r>
      <w:r>
        <w:rPr>
          <w:rFonts w:hint="eastAsia" w:ascii="仿宋" w:hAnsi="仿宋" w:eastAsia="仿宋" w:cs="仿宋"/>
          <w:sz w:val="32"/>
          <w:szCs w:val="32"/>
        </w:rPr>
        <w:t>0</w:t>
      </w:r>
      <w:r>
        <w:rPr>
          <w:rFonts w:ascii="仿宋" w:hAnsi="仿宋" w:eastAsia="仿宋" w:cs="仿宋"/>
          <w:sz w:val="32"/>
          <w:szCs w:val="32"/>
        </w:rPr>
        <w:t>万元，其他来源收入</w:t>
      </w:r>
      <w:r>
        <w:rPr>
          <w:rFonts w:hint="eastAsia" w:ascii="仿宋" w:hAnsi="仿宋" w:eastAsia="仿宋" w:cs="仿宋"/>
          <w:sz w:val="32"/>
          <w:szCs w:val="32"/>
        </w:rPr>
        <w:t>0</w:t>
      </w:r>
      <w:r>
        <w:rPr>
          <w:rFonts w:ascii="仿宋" w:hAnsi="仿宋" w:eastAsia="仿宋" w:cs="仿宋"/>
          <w:sz w:val="32"/>
          <w:szCs w:val="32"/>
        </w:rPr>
        <w:t>万元</w:t>
      </w:r>
      <w:r>
        <w:rPr>
          <w:rFonts w:hint="eastAsia" w:ascii="仿宋" w:hAnsi="仿宋" w:eastAsia="仿宋" w:cs="仿宋"/>
          <w:sz w:val="32"/>
          <w:szCs w:val="32"/>
        </w:rPr>
        <w:t>。</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2、支出说明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收支预算总表支出栏、基本支出表、项目支出表按经济分类和支出功能分类科目编制，反映大厂回族自治县审计局年度部门预算中支出预算的总体情况。2019年支出预算</w:t>
      </w:r>
      <w:r>
        <w:rPr>
          <w:rFonts w:ascii="仿宋" w:hAnsi="仿宋" w:eastAsia="仿宋" w:cs="仿宋"/>
          <w:sz w:val="32"/>
          <w:szCs w:val="32"/>
        </w:rPr>
        <w:t>957.25</w:t>
      </w:r>
      <w:r>
        <w:rPr>
          <w:rFonts w:hint="eastAsia" w:ascii="仿宋" w:hAnsi="仿宋" w:eastAsia="仿宋" w:cs="仿宋"/>
          <w:sz w:val="32"/>
          <w:szCs w:val="32"/>
        </w:rPr>
        <w:t>万元，其中基本支出732.75万元，包括人员经费635.13万元和日常公用经费97.62万元；项目支出224.5万元，包括本级支出，主要为审计业务、审计信息化建设、购买社会服务费及其他审计事务支出。</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3、比上年增减情况</w:t>
      </w:r>
    </w:p>
    <w:p>
      <w:pPr>
        <w:ind w:firstLine="640" w:firstLineChars="200"/>
        <w:jc w:val="left"/>
        <w:rPr>
          <w:rFonts w:eastAsia="仿宋_GB2312"/>
          <w:sz w:val="32"/>
          <w:szCs w:val="32"/>
        </w:rPr>
      </w:pPr>
      <w:r>
        <w:rPr>
          <w:rFonts w:hint="eastAsia" w:ascii="仿宋" w:hAnsi="仿宋" w:eastAsia="仿宋" w:cs="仿宋"/>
          <w:sz w:val="32"/>
          <w:szCs w:val="32"/>
        </w:rPr>
        <w:t>2019年预算收支安排</w:t>
      </w:r>
      <w:r>
        <w:rPr>
          <w:rFonts w:ascii="仿宋" w:hAnsi="仿宋" w:eastAsia="仿宋" w:cs="仿宋"/>
          <w:sz w:val="32"/>
          <w:szCs w:val="32"/>
        </w:rPr>
        <w:t>957.25</w:t>
      </w:r>
      <w:r>
        <w:rPr>
          <w:rFonts w:hint="eastAsia" w:ascii="仿宋" w:hAnsi="仿宋" w:eastAsia="仿宋" w:cs="仿宋"/>
          <w:sz w:val="32"/>
          <w:szCs w:val="32"/>
        </w:rPr>
        <w:t>万元，较2018年预算增加168.9万元，其中：基本支出增加72.9万元，主要为增加人员经费支出；项目支出增加96万元，主要是增加了购买社会服务费。</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rPr>
        <w:t>2</w:t>
      </w:r>
      <w:r>
        <w:rPr>
          <w:rFonts w:ascii="仿宋" w:hAnsi="仿宋" w:eastAsia="仿宋" w:cs="仿宋"/>
          <w:sz w:val="32"/>
          <w:szCs w:val="32"/>
        </w:rPr>
        <w:t>019</w:t>
      </w:r>
      <w:r>
        <w:rPr>
          <w:rFonts w:hint="eastAsia" w:ascii="仿宋" w:hAnsi="仿宋" w:eastAsia="仿宋" w:cs="仿宋"/>
          <w:sz w:val="32"/>
          <w:szCs w:val="32"/>
        </w:rPr>
        <w:t>年度机关运行经费共计安排</w:t>
      </w:r>
      <w:r>
        <w:rPr>
          <w:rFonts w:ascii="仿宋" w:hAnsi="仿宋" w:eastAsia="仿宋" w:cs="仿宋"/>
          <w:sz w:val="32"/>
          <w:szCs w:val="32"/>
        </w:rPr>
        <w:t>97.62</w:t>
      </w:r>
      <w:r>
        <w:rPr>
          <w:rFonts w:hint="eastAsia" w:ascii="仿宋" w:hAnsi="仿宋" w:eastAsia="仿宋" w:cs="仿宋"/>
          <w:sz w:val="32"/>
          <w:szCs w:val="32"/>
        </w:rPr>
        <w:t>万元，主要用于审计局办公区的日常维修、办公用房水电费、办公用房取暖费、办公用房物业管理费等日常运行支出。</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201</w:t>
      </w:r>
      <w:r>
        <w:rPr>
          <w:rFonts w:ascii="仿宋" w:hAnsi="仿宋" w:eastAsia="仿宋" w:cs="仿宋"/>
          <w:sz w:val="32"/>
          <w:szCs w:val="32"/>
          <w:lang w:val="zh-CN"/>
        </w:rPr>
        <w:t>9</w:t>
      </w:r>
      <w:r>
        <w:rPr>
          <w:rFonts w:hint="eastAsia" w:ascii="仿宋" w:hAnsi="仿宋" w:eastAsia="仿宋" w:cs="仿宋"/>
          <w:sz w:val="32"/>
          <w:szCs w:val="32"/>
          <w:lang w:val="zh-CN"/>
        </w:rPr>
        <w:t>年，我局“三公”经费预算安排</w:t>
      </w:r>
      <w:r>
        <w:rPr>
          <w:rFonts w:ascii="仿宋" w:hAnsi="仿宋" w:eastAsia="仿宋" w:cs="仿宋"/>
          <w:sz w:val="32"/>
          <w:szCs w:val="32"/>
        </w:rPr>
        <w:t>6</w:t>
      </w:r>
      <w:r>
        <w:rPr>
          <w:rFonts w:hint="eastAsia" w:ascii="仿宋" w:hAnsi="仿宋" w:eastAsia="仿宋" w:cs="仿宋"/>
          <w:sz w:val="32"/>
          <w:szCs w:val="32"/>
        </w:rPr>
        <w:t>.36</w:t>
      </w:r>
      <w:r>
        <w:rPr>
          <w:rFonts w:hint="eastAsia" w:ascii="仿宋" w:hAnsi="仿宋" w:eastAsia="仿宋" w:cs="仿宋"/>
          <w:sz w:val="32"/>
          <w:szCs w:val="32"/>
          <w:lang w:val="zh-CN"/>
        </w:rPr>
        <w:t>万元，其中因公出国（境）费</w:t>
      </w:r>
      <w:r>
        <w:rPr>
          <w:rFonts w:hint="eastAsia" w:ascii="仿宋" w:hAnsi="仿宋" w:eastAsia="仿宋" w:cs="仿宋"/>
          <w:sz w:val="32"/>
          <w:szCs w:val="32"/>
        </w:rPr>
        <w:t>0</w:t>
      </w:r>
      <w:r>
        <w:rPr>
          <w:rFonts w:hint="eastAsia" w:ascii="仿宋" w:hAnsi="仿宋" w:eastAsia="仿宋" w:cs="仿宋"/>
          <w:sz w:val="32"/>
          <w:szCs w:val="32"/>
          <w:lang w:val="zh-CN"/>
        </w:rPr>
        <w:t>万元；与2</w:t>
      </w:r>
      <w:r>
        <w:rPr>
          <w:rFonts w:ascii="仿宋" w:hAnsi="仿宋" w:eastAsia="仿宋" w:cs="仿宋"/>
          <w:sz w:val="32"/>
          <w:szCs w:val="32"/>
          <w:lang w:val="zh-CN"/>
        </w:rPr>
        <w:t>018</w:t>
      </w:r>
      <w:r>
        <w:rPr>
          <w:rFonts w:hint="eastAsia" w:ascii="仿宋" w:hAnsi="仿宋" w:eastAsia="仿宋" w:cs="仿宋"/>
          <w:sz w:val="32"/>
          <w:szCs w:val="32"/>
          <w:lang w:val="zh-CN"/>
        </w:rPr>
        <w:t>年持平。公务用车购置及运行维护费</w:t>
      </w:r>
      <w:r>
        <w:rPr>
          <w:rFonts w:ascii="仿宋" w:hAnsi="仿宋" w:eastAsia="仿宋" w:cs="仿宋"/>
          <w:sz w:val="32"/>
          <w:szCs w:val="32"/>
        </w:rPr>
        <w:t>6</w:t>
      </w:r>
      <w:r>
        <w:rPr>
          <w:rFonts w:hint="eastAsia" w:ascii="仿宋" w:hAnsi="仿宋" w:eastAsia="仿宋" w:cs="仿宋"/>
          <w:sz w:val="32"/>
          <w:szCs w:val="32"/>
          <w:lang w:val="zh-CN"/>
        </w:rPr>
        <w:t>万元（其中：公务用车购置费为</w:t>
      </w:r>
      <w:r>
        <w:rPr>
          <w:rFonts w:hint="eastAsia" w:ascii="仿宋" w:hAnsi="仿宋" w:eastAsia="仿宋" w:cs="仿宋"/>
          <w:sz w:val="32"/>
          <w:szCs w:val="32"/>
        </w:rPr>
        <w:t>0</w:t>
      </w:r>
      <w:r>
        <w:rPr>
          <w:rFonts w:hint="eastAsia" w:ascii="仿宋" w:hAnsi="仿宋" w:eastAsia="仿宋" w:cs="仿宋"/>
          <w:sz w:val="32"/>
          <w:szCs w:val="32"/>
          <w:lang w:val="zh-CN"/>
        </w:rPr>
        <w:t>，公务用车运行费</w:t>
      </w:r>
      <w:r>
        <w:rPr>
          <w:rFonts w:ascii="仿宋" w:hAnsi="仿宋" w:eastAsia="仿宋" w:cs="仿宋"/>
          <w:sz w:val="32"/>
          <w:szCs w:val="32"/>
        </w:rPr>
        <w:t>6</w:t>
      </w:r>
      <w:r>
        <w:rPr>
          <w:rFonts w:hint="eastAsia" w:ascii="仿宋" w:hAnsi="仿宋" w:eastAsia="仿宋" w:cs="仿宋"/>
          <w:sz w:val="32"/>
          <w:szCs w:val="32"/>
          <w:lang w:val="zh-CN"/>
        </w:rPr>
        <w:t>万元)；比2</w:t>
      </w:r>
      <w:r>
        <w:rPr>
          <w:rFonts w:ascii="仿宋" w:hAnsi="仿宋" w:eastAsia="仿宋" w:cs="仿宋"/>
          <w:sz w:val="32"/>
          <w:szCs w:val="32"/>
          <w:lang w:val="zh-CN"/>
        </w:rPr>
        <w:t>018</w:t>
      </w:r>
      <w:r>
        <w:rPr>
          <w:rFonts w:hint="eastAsia" w:ascii="仿宋" w:hAnsi="仿宋" w:eastAsia="仿宋" w:cs="仿宋"/>
          <w:sz w:val="32"/>
          <w:szCs w:val="32"/>
          <w:lang w:val="zh-CN"/>
        </w:rPr>
        <w:t>年增加1万元。主要原因是按照标准重新核定的公务用车运行维护费。公务接待费</w:t>
      </w:r>
      <w:r>
        <w:rPr>
          <w:rFonts w:hint="eastAsia" w:ascii="仿宋" w:hAnsi="仿宋" w:eastAsia="仿宋" w:cs="仿宋"/>
          <w:sz w:val="32"/>
          <w:szCs w:val="32"/>
        </w:rPr>
        <w:t>0.36</w:t>
      </w:r>
      <w:r>
        <w:rPr>
          <w:rFonts w:hint="eastAsia" w:ascii="仿宋" w:hAnsi="仿宋" w:eastAsia="仿宋" w:cs="仿宋"/>
          <w:sz w:val="32"/>
          <w:szCs w:val="32"/>
          <w:lang w:val="zh-CN"/>
        </w:rPr>
        <w:t>万元，与2</w:t>
      </w:r>
      <w:r>
        <w:rPr>
          <w:rFonts w:ascii="仿宋" w:hAnsi="仿宋" w:eastAsia="仿宋" w:cs="仿宋"/>
          <w:sz w:val="32"/>
          <w:szCs w:val="32"/>
          <w:lang w:val="zh-CN"/>
        </w:rPr>
        <w:t>018</w:t>
      </w:r>
      <w:r>
        <w:rPr>
          <w:rFonts w:hint="eastAsia" w:ascii="仿宋" w:hAnsi="仿宋" w:eastAsia="仿宋" w:cs="仿宋"/>
          <w:sz w:val="32"/>
          <w:szCs w:val="32"/>
          <w:lang w:val="zh-CN"/>
        </w:rPr>
        <w:t>年持平。</w:t>
      </w:r>
    </w:p>
    <w:p>
      <w:pPr>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ascii="Times New Roman" w:hAnsi="Times New Roman" w:eastAsia="方正仿宋_GBK" w:cs="Times New Roman"/>
          <w:b/>
          <w:sz w:val="32"/>
          <w:szCs w:val="32"/>
        </w:rPr>
      </w:pPr>
      <w:bookmarkStart w:id="0" w:name="_Toc471398463"/>
      <w:r>
        <w:rPr>
          <w:rFonts w:hint="eastAsia" w:ascii="楷体" w:hAnsi="楷体" w:eastAsia="楷体" w:cs="楷体"/>
          <w:b/>
          <w:sz w:val="32"/>
          <w:szCs w:val="32"/>
        </w:rPr>
        <w:t>总体绩效目标：</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一、年度发展规划目标</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在县委、县政府和上级审计机关的正确领导下，围绕中心、服务大局，加强审计人员自身建设，内强素质，外树清正廉洁，人民公仆的良好形象。</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重点完成预算执行审计，财政决算审计（主要是乡镇财政决算审计），行政事业财务收支审计，社保审计，政府投资建设项目审计，经济责任审计，向社会力量购买服务。</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通过预算执行审计，规范资金分配管理，盘活财政资金存量，优化财政资金增量，调整财政支出结构，促进资金优化配置和提高财政资金使用绩效为目标，在掌握我县预算执行和税收征管总体情况的基础上，重点关注财政存量资金规模和结构，关注财政支出结构和投向。检查“三公经费”和会议费管理使用情况，大额采购情况，党政机关楼堂馆所建设情况。检查重点财政专项资金管理分配使用情况。</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通过乡镇财政决算审计，检查财政收支决算的真实性和合法性基础，重点关注财政存量资金规模和结构，关注财政支出结构和投向，关注存量债务的化解和新增债务的举借情况，以及债务资金的投向和管理使用等情况。检查“三公经费”和会议费管理使用情况以及重点专项资金管理使用情况。</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通过行政事业财务收支审计，有助于查清财政预算资金、资产管理、政府采购预算管理的合规合法性，促进规范管理，提高资金使用效益。</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通过社保审计，主要掌握医疗保险基金、救助基金在筹集、管理和使用中存在的主要问题，及资金运行过程中面临的困难和矛盾，分析问题产生的原因；掌握保障性安居工程建设总体情况，客观评价保障性安居工程成效，揭示保障性住房建设和分配管理中存在的突出问题，提出完善住房保障制度和加强管理的建议。</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通过政府投资建设项目审计，查清项目基本建设程序是否合法,建设资金的筹集、管理和使用是否合规,工程造价的计量与结算是否真实，工程质量管理是否有效，是否存在工程质量问题和严重损失浪费现象。通过对项目建设资金和工程造价真实性、合法性和效益性的审计监督，确保建设资金合理、合法和有效使用。</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受县委组织部委托，通过经济责任审计，一方面可以获取客观准确的经济信息，掌握经济运行的真实情况，实施科学的调控措施；另一方面，可以客观评价领导干部的经济责任，有利于领导干部全面树立和落实科学发展观和正确政绩观，规范领导干部的经济行为，实现科学决策、民主决策、依法决策，最大限度的减少领导干部在经济工作中的失误。</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通过向社会力量购买服务，推动服务型政府建设，实现审计监督全覆盖，充分整合审计资源。</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二、职责分类绩效目标</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201</w:t>
      </w:r>
      <w:r>
        <w:rPr>
          <w:rFonts w:ascii="仿宋" w:hAnsi="仿宋" w:eastAsia="仿宋" w:cs="仿宋"/>
          <w:sz w:val="32"/>
          <w:szCs w:val="32"/>
        </w:rPr>
        <w:t>9</w:t>
      </w:r>
      <w:r>
        <w:rPr>
          <w:rFonts w:hint="eastAsia" w:ascii="仿宋" w:hAnsi="仿宋" w:eastAsia="仿宋" w:cs="仿宋"/>
          <w:sz w:val="32"/>
          <w:szCs w:val="32"/>
          <w:lang w:val="zh-CN"/>
        </w:rPr>
        <w:t>年，我局主要职责是完成审计业务和审计政务管理。重点完成预算执行审计，财政决算审计（主要是乡镇财政决算审计），行政事业财务收支审计，社保审计，政府投资建设项目审计，经济责任审计，向社会力量购买服务。</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审计业务绩效目标情况</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绩效目标：1、审计业务：通过审计财政、财务收支真实、合法和效益，维护国家财政经济秩序、促进廉政建设、保障国民经济的健康。2、专项审计调查：通过专项审计调查，综合分析，向有关部门反映情况，揭露问题、提出解决问题的建议，为政府决策提供依据，为国家宏观调控服务。</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审计政务管理绩效目标情况</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绩效目标：组织开展信息化建设、教育培训、审计理论研究，抓好新闻宣传和文化建设、政务信息公开，开展审计服务和业务咨询。信息保障安全有效，信息化建设稳步推进；加强宣传引导；提高人员业务水平；促进审计文化研究，推动审计事业发展。</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三、实现年度发展规划目标的保障措施</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（一）高度重视，周密组织实施。各股室、相关责任人要密切配合，及时提供相关资料，要切实增强责任意识和使命感，确保各项工作落实到位。</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（二）坚持揭示问题和督促整改相结合。对审计发现的问题，要及时向被审计部门通报情况，提出具体可行的整改意见，督促各部门及时整改落实，发挥好跟踪审计的作用，保障各项政策措施落到实处。</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（三）运用多种方式开展审计。在审计过程中，既要审查相关资料、数据等，也要深入地方、部门、企业和项目，采取召开座谈会等方式深入了解情况，分析原因，研究提出解决问题的对策。</w:t>
      </w:r>
    </w:p>
    <w:p>
      <w:pPr>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四）严格纪律，加强督导。审计人员要遵守各项廉政纪律、审计纪律、保密纪律，坚持文明审计，客观公正、实事求是地反映情况。局班子将不定期抽查各业务股室审计工作质量，对不如实报告、上报不及时或工作不认真的进行通报，对工作认真，扎实有效的进行表扬。</w:t>
      </w:r>
    </w:p>
    <w:p>
      <w:pPr>
        <w:ind w:firstLine="640" w:firstLineChars="200"/>
        <w:jc w:val="left"/>
        <w:rPr>
          <w:rFonts w:ascii="仿宋" w:hAnsi="仿宋" w:eastAsia="仿宋" w:cs="仿宋"/>
          <w:sz w:val="32"/>
          <w:szCs w:val="32"/>
          <w:lang w:val="zh-CN"/>
        </w:rPr>
      </w:pPr>
    </w:p>
    <w:p>
      <w:pPr>
        <w:ind w:firstLine="640" w:firstLineChars="200"/>
        <w:jc w:val="left"/>
        <w:rPr>
          <w:rFonts w:ascii="仿宋" w:hAnsi="仿宋" w:eastAsia="仿宋" w:cs="仿宋"/>
          <w:sz w:val="32"/>
          <w:szCs w:val="32"/>
          <w:lang w:val="zh-CN"/>
        </w:rPr>
        <w:sectPr>
          <w:footerReference r:id="rId3" w:type="default"/>
          <w:pgSz w:w="16839" w:h="11907" w:orient="landscape"/>
          <w:pgMar w:top="1474" w:right="1588" w:bottom="1474" w:left="1588" w:header="851" w:footer="992" w:gutter="0"/>
          <w:cols w:space="425" w:num="1"/>
          <w:docGrid w:type="lines" w:linePitch="312" w:charSpace="0"/>
        </w:sectPr>
      </w:pPr>
    </w:p>
    <w:p>
      <w:pPr>
        <w:ind w:firstLine="640" w:firstLineChars="200"/>
        <w:jc w:val="left"/>
        <w:rPr>
          <w:rFonts w:ascii="Times New Roman" w:hAnsi="Times New Roman" w:eastAsia="方正仿宋_GBK" w:cs="Times New Roman"/>
          <w:b/>
          <w:sz w:val="32"/>
          <w:szCs w:val="32"/>
        </w:rPr>
      </w:pPr>
    </w:p>
    <w:p>
      <w:pPr>
        <w:ind w:firstLine="643" w:firstLineChars="200"/>
        <w:jc w:val="left"/>
        <w:outlineLvl w:val="0"/>
        <w:rPr>
          <w:rFonts w:ascii="楷体_GB2312" w:hAnsi="黑体" w:eastAsia="楷体_GB2312" w:cs="Times New Roman"/>
          <w:b/>
          <w:sz w:val="32"/>
          <w:szCs w:val="32"/>
        </w:rPr>
      </w:pPr>
      <w:r>
        <w:rPr>
          <w:rFonts w:hint="eastAsia" w:ascii="楷体_GB2312" w:hAnsi="黑体" w:eastAsia="楷体_GB2312" w:cs="Times New Roman"/>
          <w:b/>
          <w:sz w:val="32"/>
          <w:szCs w:val="32"/>
        </w:rPr>
        <w:t>部门职责及工作活动绩效目标指标：</w:t>
      </w:r>
    </w:p>
    <w:bookmarkEnd w:id="0"/>
    <w:tbl>
      <w:tblPr>
        <w:tblStyle w:val="6"/>
        <w:tblW w:w="13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1"/>
        <w:gridCol w:w="1276"/>
        <w:gridCol w:w="1348"/>
        <w:gridCol w:w="1628"/>
        <w:gridCol w:w="2857"/>
        <w:gridCol w:w="119"/>
        <w:gridCol w:w="1417"/>
        <w:gridCol w:w="737"/>
        <w:gridCol w:w="737"/>
        <w:gridCol w:w="737"/>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6"/>
          <w:wBefore w:w="4965" w:type="dxa"/>
          <w:wAfter w:w="4484" w:type="dxa"/>
          <w:trHeight w:val="1050" w:hRule="atLeast"/>
          <w:tblHeader/>
          <w:jc w:val="center"/>
        </w:trPr>
        <w:tc>
          <w:tcPr>
            <w:tcW w:w="4485" w:type="dxa"/>
            <w:gridSpan w:val="2"/>
            <w:tcBorders>
              <w:top w:val="nil"/>
              <w:left w:val="nil"/>
              <w:right w:val="nil"/>
            </w:tcBorders>
          </w:tcPr>
          <w:p>
            <w:pPr>
              <w:jc w:val="center"/>
              <w:outlineLvl w:val="0"/>
              <w:rPr>
                <w:rFonts w:ascii="方正小标宋_GBK" w:eastAsia="方正小标宋_GBK"/>
                <w:sz w:val="32"/>
              </w:rPr>
            </w:pPr>
            <w:bookmarkStart w:id="1" w:name="_Toc477337876"/>
            <w:r>
              <w:rPr>
                <w:rFonts w:hint="eastAsia" w:ascii="方正小标宋_GBK" w:eastAsia="方正小标宋_GBK"/>
                <w:sz w:val="32"/>
              </w:rPr>
              <w:t>部门职责-工作活动绩效目标</w:t>
            </w:r>
          </w:p>
        </w:tc>
      </w:tr>
      <w:bookmarkEnd w:id="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319</w:t>
            </w:r>
            <w:r>
              <w:rPr>
                <w:rFonts w:hint="eastAsia" w:ascii="方正小标宋_GBK" w:eastAsia="方正小标宋_GBK"/>
                <w:sz w:val="24"/>
              </w:rPr>
              <w:t>审计局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gridSpan w:val="2"/>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gridSpan w:val="2"/>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gridSpan w:val="2"/>
            <w:vMerge w:val="continue"/>
            <w:shd w:val="clear" w:color="auto" w:fill="auto"/>
            <w:vAlign w:val="center"/>
          </w:tcPr>
          <w:p>
            <w:pPr>
              <w:spacing w:line="300" w:lineRule="exact"/>
              <w:jc w:val="left"/>
              <w:outlineLvl w:val="0"/>
            </w:pPr>
          </w:p>
        </w:tc>
        <w:tc>
          <w:tcPr>
            <w:tcW w:w="2976" w:type="dxa"/>
            <w:gridSpan w:val="2"/>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一、审计业务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203</w:t>
            </w:r>
          </w:p>
        </w:tc>
        <w:tc>
          <w:tcPr>
            <w:tcW w:w="2976"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主管全县审计工作。</w:t>
            </w:r>
          </w:p>
        </w:tc>
        <w:tc>
          <w:tcPr>
            <w:tcW w:w="2976"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主管全县审计工作。通过财政财务收支审计真实、合法和效益情况，维护国家财政经济秩序，促进廉政建设，保障国民经济的健康运行。</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、审计业务</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203</w:t>
            </w:r>
          </w:p>
        </w:tc>
        <w:tc>
          <w:tcPr>
            <w:tcW w:w="2976" w:type="dxa"/>
            <w:gridSpan w:val="2"/>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审计本级财政部门组织本级预算执行情况，审计下级人民政府的预算执行和决算情况，审计其他财政收支情况，审计其他取得财政资金的单位和项目接受、运用财政资金的真实、合法和效益情况</w:t>
            </w:r>
            <w:r>
              <w:rPr>
                <w:rFonts w:ascii="方正书宋_GBK" w:eastAsia="方正书宋_GBK"/>
              </w:rPr>
              <w:t>,</w:t>
            </w:r>
            <w:r>
              <w:rPr>
                <w:rFonts w:hint="eastAsia" w:ascii="方正书宋_GBK" w:eastAsia="方正书宋_GBK"/>
              </w:rPr>
              <w:t>实施领导干部经济责任审计等审计。</w:t>
            </w:r>
          </w:p>
        </w:tc>
        <w:tc>
          <w:tcPr>
            <w:tcW w:w="2976" w:type="dxa"/>
            <w:gridSpan w:val="2"/>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通过审计财政、财务收支真实、合法和效益，维护国家财政经济秩序、促进廉政建设、保障国民经济的健康发展。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审计决定落实率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gridSpan w:val="2"/>
            <w:vMerge w:val="continue"/>
            <w:shd w:val="clear" w:color="auto" w:fill="auto"/>
            <w:vAlign w:val="center"/>
          </w:tcPr>
          <w:p>
            <w:pPr>
              <w:spacing w:line="300" w:lineRule="exact"/>
              <w:jc w:val="left"/>
              <w:rPr>
                <w:rFonts w:ascii="方正书宋_GBK" w:eastAsia="方正书宋_GBK"/>
              </w:rPr>
            </w:pPr>
          </w:p>
        </w:tc>
        <w:tc>
          <w:tcPr>
            <w:tcW w:w="2976" w:type="dxa"/>
            <w:gridSpan w:val="2"/>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审计计划完成率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、专项审计调查</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gridSpan w:val="2"/>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对经济领域中带有全局性、普遍性、倾向性的特定事项进行系统调查了解并向县政府报告情况和结果。</w:t>
            </w:r>
          </w:p>
        </w:tc>
        <w:tc>
          <w:tcPr>
            <w:tcW w:w="2976" w:type="dxa"/>
            <w:gridSpan w:val="2"/>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通过专项审计调查，综合分析，向有关部门反映情况，揭露问题、提出解决问题的建议，为政府决策提供依据。</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政策建议采纳率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gridSpan w:val="2"/>
            <w:vMerge w:val="continue"/>
            <w:shd w:val="clear" w:color="auto" w:fill="auto"/>
            <w:vAlign w:val="center"/>
          </w:tcPr>
          <w:p>
            <w:pPr>
              <w:spacing w:line="300" w:lineRule="exact"/>
              <w:jc w:val="left"/>
              <w:rPr>
                <w:rFonts w:ascii="方正书宋_GBK" w:eastAsia="方正书宋_GBK"/>
              </w:rPr>
            </w:pPr>
          </w:p>
        </w:tc>
        <w:tc>
          <w:tcPr>
            <w:tcW w:w="2976" w:type="dxa"/>
            <w:gridSpan w:val="2"/>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专项审计工作完成率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二、审计管理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w:t>
            </w:r>
          </w:p>
        </w:tc>
        <w:tc>
          <w:tcPr>
            <w:tcW w:w="2976"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进行内部审计管理和审计法制管理。</w:t>
            </w:r>
          </w:p>
        </w:tc>
        <w:tc>
          <w:tcPr>
            <w:tcW w:w="2976"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进行内部审计管理和审计法制管理。贯彻落实相关法律法规及大内部审计管理制度提高审计质量和审计机关法制管理水平。</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、内部审计管理</w:t>
            </w:r>
          </w:p>
        </w:tc>
        <w:tc>
          <w:tcPr>
            <w:tcW w:w="12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2</w:t>
            </w:r>
          </w:p>
        </w:tc>
        <w:tc>
          <w:tcPr>
            <w:tcW w:w="2976" w:type="dxa"/>
            <w:gridSpan w:val="2"/>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制定内部审计措施并组织落实；制定内部审计业务规章、制度、管理办法等并开展监督检查；开展内部审计业务，受理内部审计业务咨询；提供内部审计成果；协调内部审计和国家审计间工作等。</w:t>
            </w:r>
          </w:p>
        </w:tc>
        <w:tc>
          <w:tcPr>
            <w:tcW w:w="2976" w:type="dxa"/>
            <w:gridSpan w:val="2"/>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受理内审业务咨询，提高内部审计质量；协调内部审计和国家审计间工作，保障内部审计工作的顺利进行；控制费用标准严格。</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内审业务指导、监督检查率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gridSpan w:val="2"/>
            <w:vMerge w:val="continue"/>
            <w:shd w:val="clear" w:color="auto" w:fill="auto"/>
            <w:vAlign w:val="center"/>
          </w:tcPr>
          <w:p>
            <w:pPr>
              <w:spacing w:line="300" w:lineRule="exact"/>
              <w:jc w:val="left"/>
              <w:rPr>
                <w:rFonts w:ascii="方正书宋_GBK" w:eastAsia="方正书宋_GBK"/>
              </w:rPr>
            </w:pPr>
          </w:p>
        </w:tc>
        <w:tc>
          <w:tcPr>
            <w:tcW w:w="2976" w:type="dxa"/>
            <w:gridSpan w:val="2"/>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内审业务办结率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、审计法制管理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gridSpan w:val="2"/>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对审计项目、规范性文件进行审核，依法核查社会审计机构相关审计报告，做好审计机关的质量检查等。</w:t>
            </w:r>
          </w:p>
        </w:tc>
        <w:tc>
          <w:tcPr>
            <w:tcW w:w="2976" w:type="dxa"/>
            <w:gridSpan w:val="2"/>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通过审计项目审理来保障审计质量，提高县级审计法制管理水平。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审计项目报告合格率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gridSpan w:val="2"/>
            <w:vMerge w:val="continue"/>
            <w:shd w:val="clear" w:color="auto" w:fill="auto"/>
            <w:vAlign w:val="center"/>
          </w:tcPr>
          <w:p>
            <w:pPr>
              <w:spacing w:line="300" w:lineRule="exact"/>
              <w:jc w:val="left"/>
              <w:rPr>
                <w:rFonts w:ascii="方正书宋_GBK" w:eastAsia="方正书宋_GBK"/>
              </w:rPr>
            </w:pPr>
          </w:p>
        </w:tc>
        <w:tc>
          <w:tcPr>
            <w:tcW w:w="2976" w:type="dxa"/>
            <w:gridSpan w:val="2"/>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审计项目审理覆盖率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三、审计政务管理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w:t>
            </w:r>
            <w:r>
              <w:rPr>
                <w:rFonts w:ascii="方正书宋_GBK" w:eastAsia="方正书宋_GBK"/>
              </w:rPr>
              <w:t>9.5</w:t>
            </w:r>
          </w:p>
        </w:tc>
        <w:tc>
          <w:tcPr>
            <w:tcW w:w="2976"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包括系统综合业务管理和机关综合事务管理。</w:t>
            </w:r>
          </w:p>
        </w:tc>
        <w:tc>
          <w:tcPr>
            <w:tcW w:w="2976"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包括系统综合业务管理和机关综合事务管理。充分发挥参谋助手作用和综合协调作用，推进审计事业科学协调发展。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组织开展信息化建设、教育培训、审计理论研究，抓好新闻宣传和文化建设、政务信息公开，开展审计服务和业务咨询。</w:t>
            </w:r>
          </w:p>
        </w:tc>
        <w:tc>
          <w:tcPr>
            <w:tcW w:w="2976"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信息保障安全有效，信息化建设稳步推进；加强宣传引导；提高人员业务水平，推动审计事业发展。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w:t>
            </w:r>
            <w:r>
              <w:rPr>
                <w:rFonts w:ascii="方正书宋_GBK" w:eastAsia="方正书宋_GBK"/>
              </w:rPr>
              <w:t>9.5</w:t>
            </w:r>
          </w:p>
        </w:tc>
        <w:tc>
          <w:tcPr>
            <w:tcW w:w="2976"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抓好干部队伍建设、基础设施建设及其它综合事务。</w:t>
            </w:r>
          </w:p>
        </w:tc>
        <w:tc>
          <w:tcPr>
            <w:tcW w:w="2976" w:type="dxa"/>
            <w:gridSpan w:val="2"/>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提高人员业务水平，不断提高审计业务质量；保障机关正常运转。</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bl>
    <w:p>
      <w:pPr>
        <w:spacing w:line="300" w:lineRule="exact"/>
        <w:jc w:val="left"/>
        <w:outlineLvl w:val="0"/>
        <w:sectPr>
          <w:pgSz w:w="16839" w:h="11907" w:orient="landscape"/>
          <w:pgMar w:top="1020" w:right="1361" w:bottom="1020" w:left="1361" w:header="851" w:footer="992" w:gutter="0"/>
          <w:cols w:space="425" w:num="1"/>
          <w:docGrid w:type="lines" w:linePitch="312" w:charSpace="0"/>
        </w:sect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六、政府采购预算情况</w:t>
      </w:r>
      <w:bookmarkStart w:id="2" w:name="_Toc471398468"/>
    </w:p>
    <w:bookmarkEnd w:id="2"/>
    <w:p>
      <w:pPr>
        <w:autoSpaceDE w:val="0"/>
        <w:autoSpaceDN w:val="0"/>
        <w:adjustRightInd w:val="0"/>
        <w:ind w:firstLine="640" w:firstLineChars="200"/>
        <w:jc w:val="left"/>
        <w:rPr>
          <w:rFonts w:hint="eastAsia" w:eastAsia="仿宋_GB2312"/>
          <w:sz w:val="32"/>
          <w:szCs w:val="32"/>
        </w:rPr>
      </w:pPr>
      <w:r>
        <w:rPr>
          <w:rFonts w:hint="eastAsia" w:eastAsia="仿宋_GB2312"/>
          <w:sz w:val="32"/>
          <w:szCs w:val="32"/>
        </w:rPr>
        <w:t>201</w:t>
      </w:r>
      <w:r>
        <w:rPr>
          <w:rFonts w:eastAsia="仿宋_GB2312"/>
          <w:sz w:val="32"/>
          <w:szCs w:val="32"/>
        </w:rPr>
        <w:t>9</w:t>
      </w:r>
      <w:r>
        <w:rPr>
          <w:rFonts w:hint="eastAsia" w:eastAsia="仿宋_GB2312"/>
          <w:sz w:val="32"/>
          <w:szCs w:val="32"/>
        </w:rPr>
        <w:t>年，我局政府采购金额为</w:t>
      </w:r>
      <w:r>
        <w:rPr>
          <w:rFonts w:eastAsia="仿宋_GB2312"/>
          <w:sz w:val="32"/>
          <w:szCs w:val="32"/>
        </w:rPr>
        <w:t>0</w:t>
      </w:r>
      <w:r>
        <w:rPr>
          <w:rFonts w:hint="eastAsia" w:eastAsia="仿宋_GB2312"/>
          <w:sz w:val="32"/>
          <w:szCs w:val="32"/>
        </w:rPr>
        <w:t>万元。</w:t>
      </w:r>
    </w:p>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6"/>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1134"/>
        <w:gridCol w:w="1368"/>
        <w:gridCol w:w="522"/>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大厂回族自治县审计局</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68"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52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68"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52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68"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52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1134" w:type="dxa"/>
            <w:shd w:val="clear" w:color="auto" w:fill="auto"/>
            <w:vAlign w:val="center"/>
          </w:tcPr>
          <w:p>
            <w:pPr>
              <w:spacing w:line="584" w:lineRule="exact"/>
              <w:jc w:val="left"/>
              <w:rPr>
                <w:rFonts w:ascii="Times New Roman" w:hAnsi="Times New Roman" w:eastAsia="仿宋_GB2312" w:cs="Times New Roman"/>
                <w:b/>
              </w:rPr>
            </w:pPr>
          </w:p>
        </w:tc>
        <w:tc>
          <w:tcPr>
            <w:tcW w:w="1368" w:type="dxa"/>
            <w:shd w:val="clear" w:color="auto" w:fill="auto"/>
            <w:vAlign w:val="center"/>
          </w:tcPr>
          <w:p>
            <w:pPr>
              <w:spacing w:line="584" w:lineRule="exact"/>
              <w:jc w:val="left"/>
              <w:rPr>
                <w:rFonts w:ascii="Times New Roman" w:hAnsi="Times New Roman" w:eastAsia="仿宋_GB2312" w:cs="Times New Roman"/>
                <w:b/>
              </w:rPr>
            </w:pPr>
          </w:p>
        </w:tc>
        <w:tc>
          <w:tcPr>
            <w:tcW w:w="522"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right"/>
              <w:rPr>
                <w:rFonts w:hint="eastAsia" w:ascii="Times New Roman" w:hAnsi="Times New Roman" w:eastAsia="仿宋_GB2312" w:cs="Times New Roman"/>
                <w:b/>
                <w:lang w:val="en-US" w:eastAsia="zh-CN"/>
              </w:rPr>
            </w:pPr>
          </w:p>
        </w:tc>
        <w:tc>
          <w:tcPr>
            <w:tcW w:w="956" w:type="dxa"/>
            <w:shd w:val="clear" w:color="auto" w:fill="auto"/>
            <w:vAlign w:val="center"/>
          </w:tcPr>
          <w:p>
            <w:pPr>
              <w:spacing w:line="584" w:lineRule="exact"/>
              <w:jc w:val="right"/>
              <w:rPr>
                <w:rFonts w:hint="eastAsia" w:ascii="Times New Roman" w:hAnsi="Times New Roman" w:eastAsia="仿宋_GB2312" w:cs="Times New Roman"/>
                <w:b/>
                <w:lang w:val="en-US" w:eastAsia="zh-CN"/>
              </w:rPr>
            </w:pPr>
          </w:p>
        </w:tc>
        <w:tc>
          <w:tcPr>
            <w:tcW w:w="956" w:type="dxa"/>
            <w:shd w:val="clear" w:color="auto" w:fill="auto"/>
            <w:vAlign w:val="center"/>
          </w:tcPr>
          <w:p>
            <w:pPr>
              <w:spacing w:line="584" w:lineRule="exact"/>
              <w:jc w:val="right"/>
              <w:rPr>
                <w:rFonts w:ascii="Times New Roman" w:hAnsi="Times New Roman" w:eastAsia="仿宋_GB2312" w:cs="Times New Roman"/>
                <w:b/>
              </w:rPr>
            </w:pP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hint="eastAsia" w:ascii="Times New Roman" w:hAnsi="Times New Roman" w:eastAsia="仿宋_GB2312" w:cs="Times New Roman"/>
                <w:b w:val="0"/>
                <w:bCs/>
                <w:lang w:val="en-US" w:eastAsia="zh-CN"/>
              </w:rPr>
            </w:pPr>
          </w:p>
        </w:tc>
        <w:tc>
          <w:tcPr>
            <w:tcW w:w="1057" w:type="dxa"/>
            <w:shd w:val="clear" w:color="auto" w:fill="auto"/>
            <w:vAlign w:val="center"/>
          </w:tcPr>
          <w:p>
            <w:pPr>
              <w:spacing w:line="584" w:lineRule="exact"/>
              <w:jc w:val="right"/>
              <w:rPr>
                <w:rFonts w:hint="eastAsia" w:ascii="Times New Roman" w:hAnsi="Times New Roman" w:eastAsia="仿宋_GB2312" w:cs="Times New Roman"/>
                <w:b w:val="0"/>
                <w:bCs/>
                <w:lang w:val="en-US" w:eastAsia="zh-CN"/>
              </w:rPr>
            </w:pPr>
          </w:p>
        </w:tc>
        <w:tc>
          <w:tcPr>
            <w:tcW w:w="1134" w:type="dxa"/>
            <w:shd w:val="clear" w:color="auto" w:fill="auto"/>
            <w:vAlign w:val="center"/>
          </w:tcPr>
          <w:p>
            <w:pPr>
              <w:spacing w:line="584" w:lineRule="exact"/>
              <w:jc w:val="left"/>
              <w:rPr>
                <w:rFonts w:ascii="Times New Roman" w:hAnsi="Times New Roman" w:eastAsia="仿宋_GB2312" w:cs="Times New Roman"/>
                <w:b w:val="0"/>
                <w:bCs/>
              </w:rPr>
            </w:pPr>
          </w:p>
        </w:tc>
        <w:tc>
          <w:tcPr>
            <w:tcW w:w="1368" w:type="dxa"/>
            <w:shd w:val="clear" w:color="auto" w:fill="auto"/>
            <w:vAlign w:val="center"/>
          </w:tcPr>
          <w:p>
            <w:pPr>
              <w:spacing w:line="584" w:lineRule="exact"/>
              <w:jc w:val="left"/>
              <w:rPr>
                <w:rFonts w:hint="eastAsia" w:ascii="Times New Roman" w:hAnsi="Times New Roman" w:eastAsia="仿宋_GB2312" w:cs="Times New Roman"/>
                <w:b w:val="0"/>
                <w:bCs/>
                <w:lang w:val="en-US" w:eastAsia="zh-CN"/>
              </w:rPr>
            </w:pPr>
          </w:p>
        </w:tc>
        <w:tc>
          <w:tcPr>
            <w:tcW w:w="522" w:type="dxa"/>
            <w:shd w:val="clear" w:color="auto" w:fill="auto"/>
            <w:vAlign w:val="center"/>
          </w:tcPr>
          <w:p>
            <w:pPr>
              <w:spacing w:line="584" w:lineRule="exact"/>
              <w:jc w:val="left"/>
              <w:rPr>
                <w:rFonts w:hint="eastAsia" w:ascii="Times New Roman" w:hAnsi="Times New Roman" w:eastAsia="仿宋_GB2312" w:cs="Times New Roman"/>
                <w:b w:val="0"/>
                <w:bCs/>
                <w:lang w:val="en-US" w:eastAsia="zh-CN"/>
              </w:rPr>
            </w:pPr>
          </w:p>
        </w:tc>
        <w:tc>
          <w:tcPr>
            <w:tcW w:w="740" w:type="dxa"/>
            <w:shd w:val="clear" w:color="auto" w:fill="auto"/>
            <w:vAlign w:val="center"/>
          </w:tcPr>
          <w:p>
            <w:pPr>
              <w:spacing w:line="584" w:lineRule="exact"/>
              <w:jc w:val="right"/>
              <w:rPr>
                <w:rFonts w:hint="eastAsia" w:ascii="Times New Roman" w:hAnsi="Times New Roman" w:eastAsia="仿宋_GB2312" w:cs="Times New Roman"/>
                <w:b w:val="0"/>
                <w:bCs/>
                <w:lang w:val="en-US" w:eastAsia="zh-CN"/>
              </w:rPr>
            </w:pPr>
          </w:p>
        </w:tc>
        <w:tc>
          <w:tcPr>
            <w:tcW w:w="950" w:type="dxa"/>
            <w:shd w:val="clear" w:color="auto" w:fill="auto"/>
            <w:vAlign w:val="center"/>
          </w:tcPr>
          <w:p>
            <w:pPr>
              <w:spacing w:line="584" w:lineRule="exact"/>
              <w:jc w:val="right"/>
              <w:rPr>
                <w:rFonts w:hint="eastAsia" w:ascii="Times New Roman" w:hAnsi="Times New Roman" w:eastAsia="仿宋_GB2312" w:cs="Times New Roman"/>
                <w:b w:val="0"/>
                <w:bCs/>
                <w:lang w:val="en-US" w:eastAsia="zh-CN"/>
              </w:rPr>
            </w:pPr>
          </w:p>
        </w:tc>
        <w:tc>
          <w:tcPr>
            <w:tcW w:w="956" w:type="dxa"/>
            <w:shd w:val="clear" w:color="auto" w:fill="auto"/>
            <w:vAlign w:val="center"/>
          </w:tcPr>
          <w:p>
            <w:pPr>
              <w:spacing w:line="584" w:lineRule="exact"/>
              <w:jc w:val="right"/>
              <w:rPr>
                <w:rFonts w:hint="eastAsia" w:ascii="Times New Roman" w:hAnsi="Times New Roman" w:eastAsia="仿宋_GB2312" w:cs="Times New Roman"/>
                <w:b w:val="0"/>
                <w:bCs/>
                <w:lang w:val="en-US" w:eastAsia="zh-CN"/>
              </w:rPr>
            </w:pPr>
          </w:p>
        </w:tc>
        <w:tc>
          <w:tcPr>
            <w:tcW w:w="956" w:type="dxa"/>
            <w:shd w:val="clear" w:color="auto" w:fill="auto"/>
            <w:vAlign w:val="center"/>
          </w:tcPr>
          <w:p>
            <w:pPr>
              <w:spacing w:line="584" w:lineRule="exact"/>
              <w:jc w:val="right"/>
              <w:rPr>
                <w:rFonts w:hint="eastAsia" w:ascii="Times New Roman" w:hAnsi="Times New Roman" w:eastAsia="仿宋_GB2312" w:cs="Times New Roman"/>
                <w:b w:val="0"/>
                <w:bCs/>
                <w:lang w:val="en-US" w:eastAsia="zh-CN"/>
              </w:rPr>
            </w:pPr>
          </w:p>
        </w:tc>
        <w:tc>
          <w:tcPr>
            <w:tcW w:w="956" w:type="dxa"/>
            <w:shd w:val="clear" w:color="auto" w:fill="auto"/>
            <w:vAlign w:val="center"/>
          </w:tcPr>
          <w:p>
            <w:pPr>
              <w:spacing w:line="584" w:lineRule="exact"/>
              <w:jc w:val="right"/>
              <w:rPr>
                <w:rFonts w:hint="eastAsia" w:ascii="Times New Roman" w:hAnsi="Times New Roman" w:eastAsia="仿宋_GB2312" w:cs="Times New Roman"/>
                <w:b w:val="0"/>
                <w:bCs/>
                <w:lang w:val="en-US" w:eastAsia="zh-CN"/>
              </w:rPr>
            </w:pPr>
          </w:p>
        </w:tc>
        <w:tc>
          <w:tcPr>
            <w:tcW w:w="790" w:type="dxa"/>
            <w:shd w:val="clear" w:color="auto" w:fill="auto"/>
            <w:vAlign w:val="center"/>
          </w:tcPr>
          <w:p>
            <w:pPr>
              <w:spacing w:line="584" w:lineRule="exact"/>
              <w:jc w:val="right"/>
              <w:rPr>
                <w:rFonts w:ascii="Times New Roman" w:hAnsi="Times New Roman" w:eastAsia="仿宋_GB2312" w:cs="Times New Roman"/>
                <w:b w:val="0"/>
                <w:bCs/>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left"/>
              <w:rPr>
                <w:rFonts w:ascii="Times New Roman" w:hAnsi="Times New Roman" w:eastAsia="仿宋_GB2312" w:cs="Times New Roman"/>
              </w:rPr>
            </w:pPr>
          </w:p>
        </w:tc>
        <w:tc>
          <w:tcPr>
            <w:tcW w:w="1057" w:type="dxa"/>
            <w:shd w:val="clear" w:color="auto" w:fill="auto"/>
            <w:vAlign w:val="center"/>
          </w:tcPr>
          <w:p>
            <w:pPr>
              <w:spacing w:line="584" w:lineRule="exact"/>
              <w:jc w:val="right"/>
              <w:rPr>
                <w:rFonts w:hint="eastAsia" w:ascii="Times New Roman" w:hAnsi="Times New Roman" w:eastAsia="仿宋_GB2312" w:cs="Times New Roman"/>
                <w:lang w:val="en-US" w:eastAsia="zh-CN"/>
              </w:rPr>
            </w:pPr>
          </w:p>
        </w:tc>
        <w:tc>
          <w:tcPr>
            <w:tcW w:w="1134" w:type="dxa"/>
            <w:shd w:val="clear" w:color="auto" w:fill="auto"/>
            <w:vAlign w:val="center"/>
          </w:tcPr>
          <w:p>
            <w:pPr>
              <w:spacing w:line="584" w:lineRule="exact"/>
              <w:jc w:val="left"/>
              <w:rPr>
                <w:rFonts w:hint="eastAsia" w:ascii="Times New Roman" w:hAnsi="Times New Roman" w:eastAsia="仿宋_GB2312" w:cs="Times New Roman"/>
                <w:lang w:val="en-US" w:eastAsia="zh-CN"/>
              </w:rPr>
            </w:pPr>
          </w:p>
        </w:tc>
        <w:tc>
          <w:tcPr>
            <w:tcW w:w="1368" w:type="dxa"/>
            <w:shd w:val="clear" w:color="auto" w:fill="auto"/>
            <w:vAlign w:val="center"/>
          </w:tcPr>
          <w:p>
            <w:pPr>
              <w:spacing w:line="584" w:lineRule="exact"/>
              <w:jc w:val="left"/>
              <w:rPr>
                <w:rFonts w:hint="eastAsia" w:ascii="Times New Roman" w:hAnsi="Times New Roman" w:eastAsia="仿宋_GB2312" w:cs="Times New Roman"/>
                <w:lang w:val="en-US" w:eastAsia="zh-CN"/>
              </w:rPr>
            </w:pPr>
          </w:p>
        </w:tc>
        <w:tc>
          <w:tcPr>
            <w:tcW w:w="522" w:type="dxa"/>
            <w:shd w:val="clear" w:color="auto" w:fill="auto"/>
            <w:vAlign w:val="center"/>
          </w:tcPr>
          <w:p>
            <w:pPr>
              <w:spacing w:line="584" w:lineRule="exact"/>
              <w:jc w:val="left"/>
              <w:rPr>
                <w:rFonts w:hint="eastAsia" w:ascii="Times New Roman" w:hAnsi="Times New Roman" w:eastAsia="仿宋_GB2312" w:cs="Times New Roman"/>
                <w:lang w:val="en-US" w:eastAsia="zh-CN"/>
              </w:rPr>
            </w:pPr>
          </w:p>
        </w:tc>
        <w:tc>
          <w:tcPr>
            <w:tcW w:w="740" w:type="dxa"/>
            <w:shd w:val="clear" w:color="auto" w:fill="auto"/>
            <w:vAlign w:val="center"/>
          </w:tcPr>
          <w:p>
            <w:pPr>
              <w:spacing w:line="584" w:lineRule="exact"/>
              <w:jc w:val="right"/>
              <w:rPr>
                <w:rFonts w:hint="eastAsia" w:ascii="Times New Roman" w:hAnsi="Times New Roman" w:eastAsia="仿宋_GB2312" w:cs="Times New Roman"/>
                <w:lang w:val="en-US" w:eastAsia="zh-CN"/>
              </w:rPr>
            </w:pPr>
          </w:p>
        </w:tc>
        <w:tc>
          <w:tcPr>
            <w:tcW w:w="950" w:type="dxa"/>
            <w:shd w:val="clear" w:color="auto" w:fill="auto"/>
            <w:vAlign w:val="center"/>
          </w:tcPr>
          <w:p>
            <w:pPr>
              <w:spacing w:line="584" w:lineRule="exact"/>
              <w:jc w:val="right"/>
              <w:rPr>
                <w:rFonts w:hint="eastAsia" w:ascii="Times New Roman" w:hAnsi="Times New Roman" w:eastAsia="仿宋_GB2312" w:cs="Times New Roman"/>
                <w:lang w:val="en-US" w:eastAsia="zh-CN"/>
              </w:rPr>
            </w:pPr>
          </w:p>
        </w:tc>
        <w:tc>
          <w:tcPr>
            <w:tcW w:w="956" w:type="dxa"/>
            <w:shd w:val="clear" w:color="auto" w:fill="auto"/>
            <w:vAlign w:val="center"/>
          </w:tcPr>
          <w:p>
            <w:pPr>
              <w:spacing w:line="584" w:lineRule="exact"/>
              <w:jc w:val="right"/>
              <w:rPr>
                <w:rFonts w:hint="eastAsia" w:ascii="Times New Roman" w:hAnsi="Times New Roman" w:eastAsia="仿宋_GB2312" w:cs="Times New Roman"/>
                <w:lang w:val="en-US" w:eastAsia="zh-CN"/>
              </w:rPr>
            </w:pPr>
          </w:p>
        </w:tc>
        <w:tc>
          <w:tcPr>
            <w:tcW w:w="956" w:type="dxa"/>
            <w:shd w:val="clear" w:color="auto" w:fill="auto"/>
            <w:vAlign w:val="center"/>
          </w:tcPr>
          <w:p>
            <w:pPr>
              <w:spacing w:line="584" w:lineRule="exact"/>
              <w:jc w:val="right"/>
              <w:rPr>
                <w:rFonts w:hint="eastAsia" w:ascii="Times New Roman" w:hAnsi="Times New Roman" w:eastAsia="仿宋_GB2312" w:cs="Times New Roman"/>
                <w:lang w:val="en-US" w:eastAsia="zh-CN"/>
              </w:rPr>
            </w:pPr>
          </w:p>
        </w:tc>
        <w:tc>
          <w:tcPr>
            <w:tcW w:w="956" w:type="dxa"/>
            <w:shd w:val="clear" w:color="auto" w:fill="auto"/>
            <w:vAlign w:val="center"/>
          </w:tcPr>
          <w:p>
            <w:pPr>
              <w:spacing w:line="584" w:lineRule="exact"/>
              <w:jc w:val="right"/>
              <w:rPr>
                <w:rFonts w:hint="eastAsia" w:ascii="Times New Roman" w:hAnsi="Times New Roman" w:eastAsia="仿宋_GB2312" w:cs="Times New Roman"/>
                <w:lang w:val="en-US" w:eastAsia="zh-CN"/>
              </w:rPr>
            </w:pPr>
          </w:p>
        </w:tc>
        <w:tc>
          <w:tcPr>
            <w:tcW w:w="790" w:type="dxa"/>
            <w:shd w:val="clear" w:color="auto" w:fill="auto"/>
            <w:vAlign w:val="center"/>
          </w:tcPr>
          <w:p>
            <w:pPr>
              <w:spacing w:line="584" w:lineRule="exact"/>
              <w:jc w:val="right"/>
              <w:rPr>
                <w:rFonts w:ascii="Times New Roman" w:hAnsi="Times New Roman" w:eastAsia="仿宋_GB2312" w:cs="Times New Roman"/>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autoSpaceDE w:val="0"/>
        <w:autoSpaceDN w:val="0"/>
        <w:adjustRightInd w:val="0"/>
        <w:jc w:val="left"/>
        <w:rPr>
          <w:rFonts w:hint="default" w:eastAsia="仿宋_GB2312"/>
          <w:sz w:val="32"/>
          <w:szCs w:val="32"/>
          <w:lang w:val="en-US" w:eastAsia="zh-CN"/>
        </w:rPr>
      </w:pPr>
      <w:r>
        <w:rPr>
          <w:rFonts w:hint="eastAsia" w:ascii="宋体" w:hAnsi="宋体" w:cs="宋体"/>
          <w:color w:val="000000"/>
          <w:kern w:val="0"/>
          <w:szCs w:val="21"/>
        </w:rPr>
        <w:t>注：本部门本年度无政府</w:t>
      </w:r>
      <w:r>
        <w:rPr>
          <w:rFonts w:hint="eastAsia" w:ascii="宋体" w:hAnsi="宋体" w:cs="宋体"/>
          <w:color w:val="000000"/>
          <w:kern w:val="0"/>
          <w:szCs w:val="21"/>
          <w:lang w:val="en-US" w:eastAsia="zh-CN"/>
        </w:rPr>
        <w:t>采购预算</w:t>
      </w:r>
      <w:bookmarkStart w:id="4" w:name="_GoBack"/>
      <w:bookmarkEnd w:id="4"/>
      <w:r>
        <w:rPr>
          <w:rFonts w:hint="eastAsia" w:ascii="宋体" w:hAnsi="宋体" w:cs="宋体"/>
          <w:color w:val="000000"/>
          <w:kern w:val="0"/>
          <w:szCs w:val="21"/>
        </w:rPr>
        <w:t xml:space="preserve">，按要求以空表列示。 </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Times New Roman"/>
          <w:sz w:val="32"/>
          <w:szCs w:val="32"/>
        </w:rPr>
        <w:t>七、国有资产信息</w:t>
      </w:r>
    </w:p>
    <w:p>
      <w:pPr>
        <w:autoSpaceDE w:val="0"/>
        <w:autoSpaceDN w:val="0"/>
        <w:adjustRightInd w:val="0"/>
        <w:ind w:firstLine="640" w:firstLineChars="200"/>
        <w:jc w:val="left"/>
        <w:rPr>
          <w:rFonts w:eastAsia="仿宋_GB2312"/>
          <w:sz w:val="32"/>
          <w:szCs w:val="32"/>
        </w:rPr>
      </w:pPr>
      <w:r>
        <w:rPr>
          <w:rFonts w:hint="eastAsia" w:eastAsia="仿宋_GB2312"/>
          <w:sz w:val="32"/>
          <w:szCs w:val="32"/>
        </w:rPr>
        <w:t>大厂回族自治县审计局上年末固定资产金额为109.52万元，本年度无拟购置固定资产。详见下表。</w:t>
      </w:r>
    </w:p>
    <w:tbl>
      <w:tblPr>
        <w:tblStyle w:val="6"/>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ind w:firstLine="2891" w:firstLineChars="900"/>
              <w:rPr>
                <w:rFonts w:ascii="宋体" w:hAnsi="宋体" w:eastAsia="宋体" w:cs="宋体"/>
                <w:b/>
                <w:bCs/>
                <w:kern w:val="0"/>
                <w:sz w:val="32"/>
                <w:szCs w:val="32"/>
              </w:rPr>
            </w:pPr>
            <w:r>
              <w:rPr>
                <w:rFonts w:hint="eastAsia" w:ascii="宋体" w:hAnsi="宋体" w:eastAsia="宋体" w:cs="宋体"/>
                <w:b/>
                <w:bCs/>
                <w:kern w:val="0"/>
                <w:sz w:val="32"/>
                <w:szCs w:val="32"/>
              </w:rPr>
              <w:t>大厂回族自治县审计局固定资产占用情况表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编制部门：廊坊市大厂回族自治县审计局</w:t>
            </w:r>
          </w:p>
        </w:tc>
        <w:tc>
          <w:tcPr>
            <w:tcW w:w="5103" w:type="dxa"/>
            <w:tcBorders>
              <w:top w:val="nil"/>
              <w:left w:val="nil"/>
              <w:bottom w:val="nil"/>
              <w:right w:val="nil"/>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截止时间：201</w:t>
            </w:r>
            <w:r>
              <w:rPr>
                <w:rFonts w:ascii="宋体" w:hAnsi="宋体" w:eastAsia="宋体" w:cs="宋体"/>
                <w:kern w:val="0"/>
                <w:sz w:val="22"/>
              </w:rPr>
              <w:t>8</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ascii="仿宋_GB2312" w:hAnsi="黑体" w:eastAsia="仿宋_GB2312" w:cs="Times New Roman"/>
                <w:sz w:val="32"/>
                <w:szCs w:val="32"/>
              </w:rPr>
              <w:t>135.30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31.97</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ascii="宋体" w:hAnsi="宋体" w:eastAsia="宋体" w:cs="宋体"/>
                <w:kern w:val="0"/>
                <w:sz w:val="22"/>
              </w:rPr>
              <w:t>103.33</w:t>
            </w:r>
          </w:p>
        </w:tc>
      </w:tr>
    </w:tbl>
    <w:p>
      <w:pPr>
        <w:rPr>
          <w:rFonts w:ascii="仿宋_GB2312" w:hAnsi="黑体" w:eastAsia="仿宋_GB2312" w:cs="Times New Roman"/>
          <w:color w:val="FF0000"/>
          <w:sz w:val="32"/>
          <w:szCs w:val="32"/>
        </w:rPr>
      </w:pPr>
    </w:p>
    <w:p>
      <w:pPr>
        <w:autoSpaceDE w:val="0"/>
        <w:autoSpaceDN w:val="0"/>
        <w:adjustRightInd w:val="0"/>
        <w:ind w:left="198" w:firstLine="640" w:firstLineChars="200"/>
        <w:jc w:val="left"/>
        <w:rPr>
          <w:rFonts w:ascii="黑体" w:hAnsi="黑体" w:eastAsia="黑体" w:cs="Times New Roman"/>
          <w:sz w:val="32"/>
          <w:szCs w:val="32"/>
        </w:rPr>
      </w:pPr>
      <w:r>
        <w:rPr>
          <w:rFonts w:hint="eastAsia" w:ascii="黑体" w:hAnsi="黑体" w:eastAsia="黑体" w:cs="Times New Roman"/>
          <w:sz w:val="32"/>
          <w:szCs w:val="32"/>
        </w:rPr>
        <w:t>八、名词解释</w:t>
      </w:r>
    </w:p>
    <w:p>
      <w:pPr>
        <w:autoSpaceDE w:val="0"/>
        <w:autoSpaceDN w:val="0"/>
        <w:adjustRightInd w:val="0"/>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1、一般公共预算拨款收入：指县级财政当年拨付的资金。</w:t>
      </w:r>
    </w:p>
    <w:p>
      <w:pPr>
        <w:autoSpaceDE w:val="0"/>
        <w:autoSpaceDN w:val="0"/>
        <w:adjustRightInd w:val="0"/>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2、事业收入：指事业单位开展专业业务活动及辅助活动所取得的收入。</w:t>
      </w:r>
    </w:p>
    <w:p>
      <w:pPr>
        <w:autoSpaceDE w:val="0"/>
        <w:autoSpaceDN w:val="0"/>
        <w:adjustRightInd w:val="0"/>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3、其他收入：指除上述“财政拨款收入”、“事业收入”等以外的收入。主要是按规定动用的租房收入、存款利息收入等。</w:t>
      </w:r>
    </w:p>
    <w:p>
      <w:pPr>
        <w:autoSpaceDE w:val="0"/>
        <w:autoSpaceDN w:val="0"/>
        <w:adjustRightInd w:val="0"/>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4、基本支出：指为保障机构正常运转、完成日常工作任务而发生的人员支出和公用支出。</w:t>
      </w:r>
    </w:p>
    <w:p>
      <w:pPr>
        <w:autoSpaceDE w:val="0"/>
        <w:autoSpaceDN w:val="0"/>
        <w:adjustRightInd w:val="0"/>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5、项目支出：指在基本支出之外为完成特定行政任务和事业发展目标所发生的支出。</w:t>
      </w:r>
    </w:p>
    <w:p>
      <w:pPr>
        <w:autoSpaceDE w:val="0"/>
        <w:autoSpaceDN w:val="0"/>
        <w:adjustRightInd w:val="0"/>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6、上缴上级支出：指下级单位上缴上级的支出。</w:t>
      </w:r>
    </w:p>
    <w:p>
      <w:pPr>
        <w:autoSpaceDE w:val="0"/>
        <w:autoSpaceDN w:val="0"/>
        <w:adjustRightInd w:val="0"/>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7、“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ind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ind w:firstLine="640" w:firstLineChars="200"/>
        <w:jc w:val="left"/>
        <w:rPr>
          <w:rFonts w:ascii="黑体" w:hAnsi="黑体" w:eastAsia="黑体" w:cs="黑体"/>
          <w:bCs/>
          <w:sz w:val="32"/>
          <w:szCs w:val="32"/>
        </w:rPr>
      </w:pPr>
      <w:r>
        <w:rPr>
          <w:rFonts w:hint="eastAsia" w:ascii="黑体" w:hAnsi="黑体" w:eastAsia="黑体" w:cs="黑体"/>
          <w:bCs/>
          <w:sz w:val="32"/>
          <w:szCs w:val="32"/>
        </w:rPr>
        <w:t>九、其它需要说明的事项</w:t>
      </w:r>
    </w:p>
    <w:p>
      <w:pPr>
        <w:widowControl/>
        <w:ind w:firstLine="640" w:firstLineChars="200"/>
        <w:jc w:val="left"/>
        <w:rPr>
          <w:rFonts w:ascii="仿宋" w:hAnsi="仿宋" w:eastAsia="仿宋" w:cs="仿宋"/>
          <w:bCs/>
          <w:sz w:val="32"/>
          <w:szCs w:val="32"/>
        </w:rPr>
      </w:pPr>
      <w:r>
        <w:rPr>
          <w:rFonts w:hint="eastAsia" w:ascii="仿宋" w:hAnsi="仿宋" w:eastAsia="仿宋" w:cs="仿宋"/>
          <w:bCs/>
          <w:sz w:val="32"/>
          <w:szCs w:val="32"/>
        </w:rPr>
        <w:t>我局无其他需要说明的事项。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37AF6"/>
    <w:rsid w:val="00045A61"/>
    <w:rsid w:val="00075D5F"/>
    <w:rsid w:val="000C3A19"/>
    <w:rsid w:val="001245BB"/>
    <w:rsid w:val="00151368"/>
    <w:rsid w:val="0018479D"/>
    <w:rsid w:val="001A5A49"/>
    <w:rsid w:val="00241FD4"/>
    <w:rsid w:val="00251B12"/>
    <w:rsid w:val="002645FB"/>
    <w:rsid w:val="00296113"/>
    <w:rsid w:val="002F3E58"/>
    <w:rsid w:val="0030542C"/>
    <w:rsid w:val="00311B7A"/>
    <w:rsid w:val="003D546A"/>
    <w:rsid w:val="003E1A7F"/>
    <w:rsid w:val="00451871"/>
    <w:rsid w:val="00472923"/>
    <w:rsid w:val="004E3066"/>
    <w:rsid w:val="004E74CD"/>
    <w:rsid w:val="004F0EBF"/>
    <w:rsid w:val="00540508"/>
    <w:rsid w:val="00573562"/>
    <w:rsid w:val="00614A29"/>
    <w:rsid w:val="00694B70"/>
    <w:rsid w:val="0075393C"/>
    <w:rsid w:val="00776C08"/>
    <w:rsid w:val="00786797"/>
    <w:rsid w:val="007B4EE0"/>
    <w:rsid w:val="007E1DA8"/>
    <w:rsid w:val="007E2F4B"/>
    <w:rsid w:val="007F6C26"/>
    <w:rsid w:val="008334AE"/>
    <w:rsid w:val="00836FED"/>
    <w:rsid w:val="00845CD2"/>
    <w:rsid w:val="008502D8"/>
    <w:rsid w:val="00852B0D"/>
    <w:rsid w:val="00881692"/>
    <w:rsid w:val="008B3CC5"/>
    <w:rsid w:val="008C2BAF"/>
    <w:rsid w:val="008E4261"/>
    <w:rsid w:val="008F4662"/>
    <w:rsid w:val="00905D08"/>
    <w:rsid w:val="00925753"/>
    <w:rsid w:val="0094042E"/>
    <w:rsid w:val="00966C5C"/>
    <w:rsid w:val="00973104"/>
    <w:rsid w:val="00A72D2E"/>
    <w:rsid w:val="00A911E7"/>
    <w:rsid w:val="00A939D9"/>
    <w:rsid w:val="00AE59B0"/>
    <w:rsid w:val="00B20712"/>
    <w:rsid w:val="00B43238"/>
    <w:rsid w:val="00B75216"/>
    <w:rsid w:val="00B91D52"/>
    <w:rsid w:val="00BA1ACD"/>
    <w:rsid w:val="00C5720C"/>
    <w:rsid w:val="00CA7176"/>
    <w:rsid w:val="00CD2773"/>
    <w:rsid w:val="00CE143B"/>
    <w:rsid w:val="00D30A35"/>
    <w:rsid w:val="00D90DA8"/>
    <w:rsid w:val="00DA1198"/>
    <w:rsid w:val="00DC6A9B"/>
    <w:rsid w:val="00DE4514"/>
    <w:rsid w:val="00E167C7"/>
    <w:rsid w:val="00EA63B8"/>
    <w:rsid w:val="00EC47F6"/>
    <w:rsid w:val="00EE1B43"/>
    <w:rsid w:val="00F106F5"/>
    <w:rsid w:val="00F153EF"/>
    <w:rsid w:val="00F25BC1"/>
    <w:rsid w:val="00F66032"/>
    <w:rsid w:val="00F958C2"/>
    <w:rsid w:val="04C11BEB"/>
    <w:rsid w:val="0A495D03"/>
    <w:rsid w:val="0C933F08"/>
    <w:rsid w:val="0E5C6A0D"/>
    <w:rsid w:val="10326A73"/>
    <w:rsid w:val="106D2695"/>
    <w:rsid w:val="114562D9"/>
    <w:rsid w:val="12411317"/>
    <w:rsid w:val="130932DE"/>
    <w:rsid w:val="15477339"/>
    <w:rsid w:val="1FA837D2"/>
    <w:rsid w:val="24B906F6"/>
    <w:rsid w:val="25533D1E"/>
    <w:rsid w:val="279173E4"/>
    <w:rsid w:val="29EE662A"/>
    <w:rsid w:val="2CFB0F8C"/>
    <w:rsid w:val="34CB2AFC"/>
    <w:rsid w:val="373E17DB"/>
    <w:rsid w:val="3F5E7519"/>
    <w:rsid w:val="42692EF9"/>
    <w:rsid w:val="43E91D49"/>
    <w:rsid w:val="47D53021"/>
    <w:rsid w:val="4B842A45"/>
    <w:rsid w:val="4B8E41AF"/>
    <w:rsid w:val="4D182E5B"/>
    <w:rsid w:val="5170075B"/>
    <w:rsid w:val="53361707"/>
    <w:rsid w:val="53E513AB"/>
    <w:rsid w:val="54D4674F"/>
    <w:rsid w:val="55B34F38"/>
    <w:rsid w:val="55CB1081"/>
    <w:rsid w:val="55EC65AD"/>
    <w:rsid w:val="571D3B26"/>
    <w:rsid w:val="598F6A22"/>
    <w:rsid w:val="5C7F6316"/>
    <w:rsid w:val="5F6C3EDE"/>
    <w:rsid w:val="61EB775B"/>
    <w:rsid w:val="64005E63"/>
    <w:rsid w:val="6C82464A"/>
    <w:rsid w:val="6C9A3A1F"/>
    <w:rsid w:val="6D642264"/>
    <w:rsid w:val="6F9E6207"/>
    <w:rsid w:val="712A3A4C"/>
    <w:rsid w:val="712B2C74"/>
    <w:rsid w:val="743A661C"/>
    <w:rsid w:val="79074B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toc 1"/>
    <w:basedOn w:val="1"/>
    <w:next w:val="1"/>
    <w:qFormat/>
    <w:uiPriority w:val="0"/>
    <w:rPr>
      <w:rFonts w:ascii="Times New Roman" w:hAnsi="Times New Roman" w:eastAsia="宋体" w:cs="Times New Roman"/>
      <w:szCs w:val="24"/>
    </w:rPr>
  </w:style>
  <w:style w:type="paragraph" w:styleId="5">
    <w:name w:val="toc 2"/>
    <w:basedOn w:val="1"/>
    <w:next w:val="1"/>
    <w:qFormat/>
    <w:uiPriority w:val="0"/>
    <w:pPr>
      <w:ind w:left="420" w:leftChars="200"/>
    </w:pPr>
    <w:rPr>
      <w:rFonts w:ascii="Times New Roman" w:hAnsi="Times New Roman" w:eastAsia="宋体" w:cs="Times New Roman"/>
      <w:szCs w:val="24"/>
    </w:rPr>
  </w:style>
  <w:style w:type="character" w:styleId="8">
    <w:name w:val="Hyperlink"/>
    <w:basedOn w:val="7"/>
    <w:unhideWhenUsed/>
    <w:qFormat/>
    <w:uiPriority w:val="99"/>
    <w:rPr>
      <w:color w:val="0000FF"/>
      <w:u w:val="single"/>
    </w:rPr>
  </w:style>
  <w:style w:type="character" w:customStyle="1" w:styleId="9">
    <w:name w:val="页眉 字符"/>
    <w:basedOn w:val="7"/>
    <w:link w:val="3"/>
    <w:qFormat/>
    <w:uiPriority w:val="0"/>
    <w:rPr>
      <w:rFonts w:ascii="Times New Roman" w:hAnsi="Times New Roman" w:eastAsia="宋体" w:cs="Times New Roman"/>
      <w:sz w:val="18"/>
      <w:szCs w:val="18"/>
    </w:rPr>
  </w:style>
  <w:style w:type="character" w:customStyle="1" w:styleId="10">
    <w:name w:val="页脚 字符"/>
    <w:basedOn w:val="7"/>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712330-D6F4-4E04-A7DC-DFCB2A51A6E8}">
  <ds:schemaRefs/>
</ds:datastoreItem>
</file>

<file path=docProps/app.xml><?xml version="1.0" encoding="utf-8"?>
<Properties xmlns="http://schemas.openxmlformats.org/officeDocument/2006/extended-properties" xmlns:vt="http://schemas.openxmlformats.org/officeDocument/2006/docPropsVTypes">
  <Template>Normal</Template>
  <Pages>14</Pages>
  <Words>855</Words>
  <Characters>4879</Characters>
  <Lines>40</Lines>
  <Paragraphs>11</Paragraphs>
  <TotalTime>0</TotalTime>
  <ScaleCrop>false</ScaleCrop>
  <LinksUpToDate>false</LinksUpToDate>
  <CharactersWithSpaces>5723</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默瑶妈妈</cp:lastModifiedBy>
  <cp:lastPrinted>2017-06-26T07:05:00Z</cp:lastPrinted>
  <dcterms:modified xsi:type="dcterms:W3CDTF">2021-05-19T15:32:55Z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12D7C66D86CC4357BEFCA668BB84367F</vt:lpwstr>
  </property>
</Properties>
</file>